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805"/>
        <w:gridCol w:w="3988"/>
        <w:gridCol w:w="508"/>
        <w:gridCol w:w="1358"/>
        <w:gridCol w:w="862"/>
      </w:tblGrid>
      <w:tr>
        <w:trPr>
          <w:jc w:val="center"/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4.2pt;height:54.4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</w:tr>
      <w:tr>
        <w:trPr>
          <w:jc w:val="center"/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center"/>
              <w:spacing w:before="12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/>
          </w:p>
          <w:p>
            <w:pPr>
              <w:jc w:val="center"/>
              <w:spacing w:before="24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/>
          </w:p>
        </w:tc>
      </w:tr>
      <w:tr>
        <w:trPr>
          <w:jc w:val="center"/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</w:tr>
      <w:tr>
        <w:trPr>
          <w:jc w:val="center"/>
          <w:trHeight w:val="70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</w:tr>
      <w:tr>
        <w:trPr>
          <w:jc w:val="center"/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Об утверждении документации 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планировке территории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bookmarkStart w:id="0" w:name="__DdeLink__2376_4070034720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ограниченной </w:t>
            </w:r>
            <w:bookmarkEnd w:id="0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улицами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 Октябрьской, «Северной правды», границами территориальной зоны многоэтажной жилой застройки Ж-3</w:t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</w:tr>
    </w:tbl>
    <w:p>
      <w:pPr>
        <w:ind w:firstLine="851"/>
        <w:jc w:val="both"/>
        <w:spacing w:before="36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Администрации города Костромы от 28 июня 2021 года № 1130</w:t>
      </w:r>
      <w:r>
        <w:rPr>
          <w:rFonts w:ascii="Times New Roman" w:hAnsi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Порядка организации и проведения публичных слушаний, общественных обсуждений по проектам муниципальных правовых актов города Костромы в сфере градостроительной деятельности</w:t>
      </w:r>
      <w:r>
        <w:rPr>
          <w:rFonts w:ascii="Times New Roman" w:hAnsi="Times New Roman"/>
          <w:sz w:val="26"/>
          <w:szCs w:val="24"/>
        </w:rPr>
        <w:t xml:space="preserve">, утвержденным решением Думы города Костромы от 26 апреля 2018 года № 64, учитывая протокол </w:t>
      </w:r>
      <w:r>
        <w:rPr>
          <w:rFonts w:ascii="Times New Roman" w:hAnsi="Times New Roman"/>
          <w:sz w:val="26"/>
          <w:szCs w:val="24"/>
        </w:rPr>
        <w:t xml:space="preserve">общественных обсуждений от 15 октября 2021</w:t>
      </w:r>
      <w:r>
        <w:rPr>
          <w:rFonts w:ascii="Times New Roman" w:hAnsi="Times New Roman"/>
          <w:sz w:val="26"/>
          <w:szCs w:val="24"/>
        </w:rPr>
        <w:t xml:space="preserve"> года, </w:t>
      </w:r>
      <w:r>
        <w:rPr>
          <w:rFonts w:ascii="Times New Roman" w:hAnsi="Times New Roman"/>
          <w:sz w:val="26"/>
          <w:szCs w:val="26"/>
        </w:rPr>
        <w:t xml:space="preserve">заключение о результатах </w:t>
      </w:r>
      <w:r>
        <w:rPr>
          <w:rFonts w:ascii="Times New Roman" w:hAnsi="Times New Roman"/>
          <w:sz w:val="26"/>
          <w:szCs w:val="24"/>
        </w:rPr>
        <w:t xml:space="preserve">общественных обсуждений от 15 октября 2021 года</w:t>
      </w:r>
      <w:bookmarkStart w:id="1" w:name="_GoBack"/>
      <w:r/>
      <w:bookmarkEnd w:id="1"/>
      <w:r>
        <w:rPr>
          <w:rFonts w:ascii="Times New Roman" w:hAnsi="Times New Roman"/>
          <w:sz w:val="26"/>
          <w:szCs w:val="24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ind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/>
    </w:p>
    <w:p>
      <w:pPr>
        <w:ind w:firstLine="85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4"/>
        </w:rPr>
        <w:t xml:space="preserve">1. Утвердить прилагаемую документацию по </w:t>
      </w:r>
      <w:r>
        <w:rPr>
          <w:rFonts w:ascii="Times New Roman" w:hAnsi="Times New Roman"/>
          <w:sz w:val="26"/>
          <w:szCs w:val="26"/>
        </w:rPr>
        <w:t xml:space="preserve">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</w:t>
      </w:r>
      <w:r>
        <w:rPr>
          <w:rFonts w:ascii="Times New Roman" w:hAnsi="Times New Roman"/>
          <w:sz w:val="26"/>
          <w:szCs w:val="26"/>
        </w:rPr>
        <w:t xml:space="preserve">улицами Октябрьской, «Северной правды», границами территориальной зоны многоэтажной жилой застройки Ж-3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4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виде проекта межевания территории.</w:t>
      </w:r>
      <w:r/>
    </w:p>
    <w:p>
      <w:pPr>
        <w:ind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Настоящее постановление подлежит официальному опубликованию в течение семи дней со дня его принятия и размещению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в информационно-телекоммуникационной сети «Интернет».</w:t>
      </w:r>
      <w:r/>
    </w:p>
    <w:p>
      <w:pPr>
        <w:jc w:val="both"/>
        <w:spacing w:before="92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Book Antiqua">
    <w:panose1 w:val="02040502050505030304"/>
  </w:font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Arial" w:eastAsia="NSimSun" w:hint="default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Caption Char"/>
    <w:basedOn w:val="691"/>
    <w:link w:val="700"/>
    <w:uiPriority w:val="99"/>
  </w:style>
  <w:style w:type="character" w:styleId="645">
    <w:name w:val="Hyperlink"/>
    <w:uiPriority w:val="99"/>
    <w:unhideWhenUsed/>
    <w:rPr>
      <w:color w:val="0000FF" w:themeColor="hyperlink"/>
      <w:u w:val="single"/>
    </w:rPr>
  </w:style>
  <w:style w:type="character" w:styleId="646">
    <w:name w:val="footnote reference"/>
    <w:basedOn w:val="661"/>
    <w:uiPriority w:val="99"/>
    <w:unhideWhenUsed/>
    <w:rPr>
      <w:vertAlign w:val="superscript"/>
    </w:rPr>
  </w:style>
  <w:style w:type="paragraph" w:styleId="647">
    <w:name w:val="endnote text"/>
    <w:basedOn w:val="651"/>
    <w:link w:val="648"/>
    <w:uiPriority w:val="99"/>
    <w:semiHidden/>
    <w:unhideWhenUsed/>
    <w:pPr>
      <w:spacing w:after="0" w:line="240" w:lineRule="auto"/>
    </w:pPr>
    <w:rPr>
      <w:sz w:val="20"/>
    </w:rPr>
  </w:style>
  <w:style w:type="character" w:styleId="648">
    <w:name w:val="Endnote Text Char"/>
    <w:link w:val="647"/>
    <w:uiPriority w:val="99"/>
    <w:rPr>
      <w:sz w:val="20"/>
    </w:rPr>
  </w:style>
  <w:style w:type="character" w:styleId="649">
    <w:name w:val="endnote reference"/>
    <w:basedOn w:val="661"/>
    <w:uiPriority w:val="99"/>
    <w:semiHidden/>
    <w:unhideWhenUsed/>
    <w:rPr>
      <w:vertAlign w:val="superscript"/>
    </w:rPr>
  </w:style>
  <w:style w:type="paragraph" w:styleId="650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  <w:pPr>
      <w:widowControl w:val="off"/>
    </w:pPr>
    <w:rPr>
      <w:rFonts w:ascii="Arial" w:hAnsi="Arial" w:cs="Times New Roman" w:eastAsia="Times New Roman"/>
      <w:sz w:val="18"/>
      <w:szCs w:val="18"/>
      <w:lang w:bidi="ar-SA" w:eastAsia="ar-SA"/>
    </w:rPr>
  </w:style>
  <w:style w:type="paragraph" w:styleId="652">
    <w:name w:val="Heading 1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bidi="en-US" w:eastAsia="en-US"/>
    </w:rPr>
  </w:style>
  <w:style w:type="paragraph" w:styleId="653">
    <w:name w:val="Heading 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2"/>
      <w:lang w:bidi="en-US" w:eastAsia="en-US"/>
    </w:rPr>
  </w:style>
  <w:style w:type="paragraph" w:styleId="654">
    <w:name w:val="Heading 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bidi="en-US" w:eastAsia="en-US"/>
    </w:rPr>
  </w:style>
  <w:style w:type="paragraph" w:styleId="655">
    <w:name w:val="Heading 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bidi="en-US" w:eastAsia="en-US"/>
    </w:rPr>
  </w:style>
  <w:style w:type="paragraph" w:styleId="656">
    <w:name w:val="Heading 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lang w:bidi="en-US" w:eastAsia="en-US"/>
    </w:rPr>
  </w:style>
  <w:style w:type="paragraph" w:styleId="657">
    <w:name w:val="Heading 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bidi="en-US" w:eastAsia="en-US"/>
    </w:rPr>
  </w:style>
  <w:style w:type="paragraph" w:styleId="658">
    <w:name w:val="Heading 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bidi="en-US" w:eastAsia="en-US"/>
    </w:rPr>
  </w:style>
  <w:style w:type="paragraph" w:styleId="659">
    <w:name w:val="Heading 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bidi="en-US" w:eastAsia="en-US"/>
    </w:rPr>
  </w:style>
  <w:style w:type="paragraph" w:styleId="660">
    <w:name w:val="Heading 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bidi="en-US" w:eastAsia="en-US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Heading 1 Char"/>
    <w:uiPriority w:val="9"/>
    <w:qFormat/>
    <w:rPr>
      <w:rFonts w:ascii="Arial" w:hAnsi="Arial" w:cs="Arial" w:eastAsia="Arial"/>
      <w:sz w:val="40"/>
      <w:szCs w:val="40"/>
    </w:rPr>
  </w:style>
  <w:style w:type="character" w:styleId="665" w:customStyle="1">
    <w:name w:val="Heading 2 Char"/>
    <w:uiPriority w:val="9"/>
    <w:qFormat/>
    <w:rPr>
      <w:rFonts w:ascii="Arial" w:hAnsi="Arial" w:cs="Arial" w:eastAsia="Arial"/>
      <w:sz w:val="34"/>
    </w:rPr>
  </w:style>
  <w:style w:type="character" w:styleId="666" w:customStyle="1">
    <w:name w:val="Heading 3 Char"/>
    <w:uiPriority w:val="9"/>
    <w:qFormat/>
    <w:rPr>
      <w:rFonts w:ascii="Arial" w:hAnsi="Arial" w:cs="Arial" w:eastAsia="Arial"/>
      <w:sz w:val="30"/>
      <w:szCs w:val="30"/>
    </w:rPr>
  </w:style>
  <w:style w:type="character" w:styleId="667" w:customStyle="1">
    <w:name w:val="Heading 4 Char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Heading 5 Char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Heading 6 Char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Heading 7 Char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Heading 8 Char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Heading 9 Char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673" w:customStyle="1">
    <w:name w:val="Title Char"/>
    <w:uiPriority w:val="10"/>
    <w:qFormat/>
    <w:rPr>
      <w:sz w:val="48"/>
      <w:szCs w:val="48"/>
    </w:rPr>
  </w:style>
  <w:style w:type="character" w:styleId="674" w:customStyle="1">
    <w:name w:val="Subtitle Char"/>
    <w:uiPriority w:val="11"/>
    <w:qFormat/>
    <w:rPr>
      <w:sz w:val="24"/>
      <w:szCs w:val="24"/>
    </w:rPr>
  </w:style>
  <w:style w:type="character" w:styleId="675" w:customStyle="1">
    <w:name w:val="Quote Char"/>
    <w:uiPriority w:val="29"/>
    <w:qFormat/>
    <w:rPr>
      <w:i/>
    </w:rPr>
  </w:style>
  <w:style w:type="character" w:styleId="676" w:customStyle="1">
    <w:name w:val="Intense Quote Char"/>
    <w:uiPriority w:val="30"/>
    <w:qFormat/>
    <w:rPr>
      <w:i/>
    </w:rPr>
  </w:style>
  <w:style w:type="character" w:styleId="677" w:customStyle="1">
    <w:name w:val="Header Char"/>
    <w:uiPriority w:val="99"/>
    <w:qFormat/>
  </w:style>
  <w:style w:type="character" w:styleId="678" w:customStyle="1">
    <w:name w:val="Footer Char"/>
    <w:uiPriority w:val="99"/>
    <w:qFormat/>
  </w:style>
  <w:style w:type="character" w:styleId="679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680" w:customStyle="1">
    <w:name w:val="Footnote Text Char"/>
    <w:uiPriority w:val="99"/>
    <w:qFormat/>
    <w:rPr>
      <w:sz w:val="18"/>
    </w:rPr>
  </w:style>
  <w:style w:type="character" w:styleId="681" w:customStyle="1">
    <w:name w:val="Привязка сноски"/>
    <w:rPr>
      <w:vertAlign w:val="superscript"/>
    </w:rPr>
  </w:style>
  <w:style w:type="character" w:styleId="682" w:customStyle="1">
    <w:name w:val="Footnote Characters"/>
    <w:uiPriority w:val="99"/>
    <w:unhideWhenUsed/>
    <w:qFormat/>
    <w:rPr>
      <w:vertAlign w:val="superscript"/>
    </w:rPr>
  </w:style>
  <w:style w:type="character" w:styleId="683" w:customStyle="1">
    <w:name w:val="Absatz-Standardschriftart"/>
    <w:qFormat/>
  </w:style>
  <w:style w:type="character" w:styleId="684" w:customStyle="1">
    <w:name w:val="Основной шрифт абзаца1"/>
    <w:qFormat/>
  </w:style>
  <w:style w:type="character" w:styleId="685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686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687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paragraph" w:styleId="688">
    <w:name w:val="Title"/>
    <w:basedOn w:val="651"/>
    <w:next w:val="689"/>
    <w:uiPriority w:val="10"/>
    <w:qFormat/>
    <w:pPr>
      <w:contextualSpacing/>
      <w:spacing w:before="300" w:after="200"/>
      <w:widowControl/>
    </w:pPr>
    <w:rPr>
      <w:rFonts w:ascii="Times New Roman" w:hAnsi="Times New Roman"/>
      <w:sz w:val="48"/>
      <w:szCs w:val="48"/>
      <w:lang w:bidi="en-US" w:eastAsia="en-US"/>
    </w:rPr>
  </w:style>
  <w:style w:type="paragraph" w:styleId="689">
    <w:name w:val="Body Text"/>
    <w:basedOn w:val="651"/>
    <w:semiHidden/>
    <w:pPr>
      <w:spacing w:after="120"/>
      <w:shd w:val="clear" w:color="auto" w:fill="ffffff"/>
    </w:pPr>
  </w:style>
  <w:style w:type="paragraph" w:styleId="690">
    <w:name w:val="List"/>
    <w:basedOn w:val="689"/>
    <w:semiHidden/>
  </w:style>
  <w:style w:type="paragraph" w:styleId="691">
    <w:name w:val="Caption"/>
    <w:basedOn w:val="651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692">
    <w:name w:val="index heading"/>
    <w:basedOn w:val="651"/>
    <w:qFormat/>
    <w:pPr>
      <w:shd w:val="clear" w:color="auto" w:fill="ffffff"/>
      <w:suppressLineNumbers/>
    </w:pPr>
    <w:rPr>
      <w:rFonts w:cs="Arial"/>
    </w:rPr>
  </w:style>
  <w:style w:type="paragraph" w:styleId="693">
    <w:name w:val="List Paragraph"/>
    <w:uiPriority w:val="34"/>
    <w:qFormat/>
    <w:pPr>
      <w:contextualSpacing/>
      <w:ind w:left="720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694">
    <w:name w:val="No Spacing"/>
    <w:uiPriority w:val="1"/>
    <w:qFormat/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695">
    <w:name w:val="Subtitle"/>
    <w:uiPriority w:val="11"/>
    <w:qFormat/>
    <w:pPr>
      <w:spacing w:before="200" w:after="200"/>
    </w:pPr>
    <w:rPr>
      <w:rFonts w:ascii="Times New Roman" w:hAnsi="Times New Roman" w:cs="Times New Roman" w:eastAsia="Times New Roman"/>
      <w:sz w:val="24"/>
      <w:lang w:bidi="en-US" w:eastAsia="en-US"/>
    </w:rPr>
  </w:style>
  <w:style w:type="paragraph" w:styleId="696">
    <w:name w:val="Quote"/>
    <w:uiPriority w:val="29"/>
    <w:qFormat/>
    <w:pPr>
      <w:ind w:left="720" w:right="720"/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697">
    <w:name w:val="Intense Quote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698" w:customStyle="1">
    <w:name w:val="Верхний и нижний колонтитулы"/>
    <w:basedOn w:val="651"/>
    <w:qFormat/>
    <w:pPr>
      <w:shd w:val="clear" w:color="auto" w:fill="ffffff"/>
    </w:pPr>
  </w:style>
  <w:style w:type="paragraph" w:styleId="699">
    <w:name w:val="Header"/>
    <w:basedOn w:val="651"/>
    <w:pPr>
      <w:shd w:val="clear" w:color="auto" w:fill="ffffff"/>
    </w:pPr>
  </w:style>
  <w:style w:type="paragraph" w:styleId="700">
    <w:name w:val="Footer"/>
    <w:basedOn w:val="651"/>
    <w:semiHidden/>
    <w:pPr>
      <w:shd w:val="clear" w:color="auto" w:fill="ffffff"/>
    </w:pPr>
  </w:style>
  <w:style w:type="paragraph" w:styleId="701">
    <w:name w:val="footnote text"/>
    <w:uiPriority w:val="99"/>
    <w:semiHidden/>
    <w:unhideWhenUsed/>
    <w:pPr>
      <w:spacing w:after="40"/>
    </w:pPr>
    <w:rPr>
      <w:rFonts w:ascii="Times New Roman" w:hAnsi="Times New Roman" w:cs="Times New Roman" w:eastAsia="Times New Roman"/>
      <w:sz w:val="18"/>
      <w:szCs w:val="22"/>
      <w:lang w:bidi="en-US" w:eastAsia="en-US"/>
    </w:rPr>
  </w:style>
  <w:style w:type="paragraph" w:styleId="702">
    <w:name w:val="toc 1"/>
    <w:uiPriority w:val="39"/>
    <w:unhideWhenUsed/>
    <w:pPr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3">
    <w:name w:val="toc 2"/>
    <w:uiPriority w:val="39"/>
    <w:unhideWhenUsed/>
    <w:pPr>
      <w:ind w:left="283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4">
    <w:name w:val="toc 3"/>
    <w:uiPriority w:val="39"/>
    <w:unhideWhenUsed/>
    <w:pPr>
      <w:ind w:left="567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5">
    <w:name w:val="toc 4"/>
    <w:uiPriority w:val="39"/>
    <w:unhideWhenUsed/>
    <w:pPr>
      <w:ind w:left="850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6">
    <w:name w:val="toc 5"/>
    <w:uiPriority w:val="39"/>
    <w:unhideWhenUsed/>
    <w:pPr>
      <w:ind w:left="1134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7">
    <w:name w:val="toc 6"/>
    <w:uiPriority w:val="39"/>
    <w:unhideWhenUsed/>
    <w:pPr>
      <w:ind w:left="1417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8">
    <w:name w:val="toc 7"/>
    <w:uiPriority w:val="39"/>
    <w:unhideWhenUsed/>
    <w:pPr>
      <w:ind w:left="1701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09">
    <w:name w:val="toc 8"/>
    <w:uiPriority w:val="39"/>
    <w:unhideWhenUsed/>
    <w:pPr>
      <w:ind w:left="1984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10">
    <w:name w:val="toc 9"/>
    <w:uiPriority w:val="39"/>
    <w:unhideWhenUsed/>
    <w:pPr>
      <w:ind w:left="2268"/>
      <w:spacing w:after="57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11">
    <w:name w:val="TOC Heading"/>
    <w:uiPriority w:val="39"/>
    <w:unhideWhenUsed/>
    <w:qFormat/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712" w:customStyle="1">
    <w:name w:val="Название1"/>
    <w:basedOn w:val="651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13" w:customStyle="1">
    <w:name w:val="Указатель1"/>
    <w:basedOn w:val="651"/>
    <w:qFormat/>
    <w:pPr>
      <w:shd w:val="clear" w:color="auto" w:fill="ffffff"/>
    </w:pPr>
  </w:style>
  <w:style w:type="paragraph" w:styleId="714">
    <w:name w:val="Balloon Text"/>
    <w:basedOn w:val="651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15" w:customStyle="1">
    <w:name w:val="Содержимое таблицы"/>
    <w:basedOn w:val="651"/>
    <w:qFormat/>
    <w:pPr>
      <w:shd w:val="clear" w:color="auto" w:fill="ffffff"/>
    </w:pPr>
  </w:style>
  <w:style w:type="paragraph" w:styleId="716" w:customStyle="1">
    <w:name w:val="Заголовок таблицы"/>
    <w:basedOn w:val="715"/>
    <w:qFormat/>
    <w:pPr>
      <w:jc w:val="center"/>
    </w:pPr>
    <w:rPr>
      <w:b/>
      <w:bCs/>
    </w:rPr>
  </w:style>
  <w:style w:type="paragraph" w:styleId="717">
    <w:name w:val="Normal (Web)"/>
    <w:basedOn w:val="651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table" w:styleId="71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74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74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75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75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6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1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1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1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1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1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24" w:customStyle="1">
    <w:name w:val="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25" w:customStyle="1">
    <w:name w:val="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26" w:customStyle="1">
    <w:name w:val="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27" w:customStyle="1">
    <w:name w:val="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28" w:customStyle="1">
    <w:name w:val="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829" w:customStyle="1">
    <w:name w:val="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830" w:customStyle="1">
    <w:name w:val="Bordered &amp; Lined - Accent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31" w:customStyle="1">
    <w:name w:val="Bordered &amp; 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32" w:customStyle="1">
    <w:name w:val="Bordered &amp; 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33" w:customStyle="1">
    <w:name w:val="Bordered &amp; 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34" w:customStyle="1">
    <w:name w:val="Bordered &amp; 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35" w:customStyle="1">
    <w:name w:val="Bordered &amp; 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836" w:customStyle="1">
    <w:name w:val="Bordered &amp; 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83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3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4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4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4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4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39</cp:revision>
  <dcterms:created xsi:type="dcterms:W3CDTF">2022-03-21T13:05:00Z</dcterms:created>
  <dcterms:modified xsi:type="dcterms:W3CDTF">2022-09-19T06:04:40Z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