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  <w:t>Опись документов, прилагаемых к заявке на участие в аукционе</w:t>
      </w:r>
    </w:p>
    <w:p>
      <w:pPr>
        <w:pStyle w:val="ConsNonformat"/>
        <w:widowControl/>
        <w:bidi w:val="0"/>
        <w:ind w:left="0" w:right="0" w:hanging="0"/>
        <w:rPr>
          <w:rFonts w:ascii="Arial" w:hAnsi="Arial" w:cs="Arial"/>
          <w:sz w:val="26"/>
          <w:szCs w:val="26"/>
          <w:lang w:val="ru-RU" w:eastAsia="ru-RU" w:bidi="ar-SA"/>
        </w:rPr>
      </w:pPr>
      <w:r>
        <w:rPr>
          <w:rFonts w:cs="Arial" w:ascii="Arial" w:hAnsi="Arial"/>
          <w:sz w:val="26"/>
          <w:szCs w:val="26"/>
          <w:lang w:val="ru-RU" w:eastAsia="ru-RU" w:bidi="ar-SA"/>
        </w:rPr>
      </w:r>
    </w:p>
    <w:tbl>
      <w:tblPr>
        <w:tblW w:w="11030" w:type="dxa"/>
        <w:jc w:val="left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6"/>
        <w:gridCol w:w="4834"/>
        <w:gridCol w:w="1375"/>
        <w:gridCol w:w="1419"/>
        <w:gridCol w:w="1418"/>
        <w:gridCol w:w="1417"/>
      </w:tblGrid>
      <w:tr>
        <w:trPr/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-43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-43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-263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en-US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en-US" w:eastAsia="ru-RU" w:bidi="ar-SA"/>
        </w:rPr>
      </w:r>
    </w:p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tbl>
      <w:tblPr>
        <w:tblW w:w="11062" w:type="dxa"/>
        <w:jc w:val="left"/>
        <w:tblInd w:w="-126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43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1"/>
      </w:tblGrid>
      <w:tr>
        <w:trPr/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5039" w:type="dxa"/>
            <w:gridSpan w:val="7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П.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3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03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6"/>
          <w:szCs w:val="26"/>
          <w:lang w:val="ru-RU" w:eastAsia="ar-SA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  <w:t>Обратная сторона описи</w:t>
      </w:r>
    </w:p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tbl>
      <w:tblPr>
        <w:tblW w:w="10535" w:type="dxa"/>
        <w:jc w:val="left"/>
        <w:tblInd w:w="-98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66"/>
        <w:gridCol w:w="862"/>
        <w:gridCol w:w="1893"/>
        <w:gridCol w:w="239"/>
        <w:gridCol w:w="2475"/>
      </w:tblGrid>
      <w:tr>
        <w:trPr/>
        <w:tc>
          <w:tcPr>
            <w:tcW w:w="1053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представителем продавца в случае отказа в принятии заявки и документов)</w:t>
            </w:r>
          </w:p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35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принятии заявки и документов на участие в аукционе отказано в связи с ____________________________________________________________________________________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_____________________________________________________________________________________.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(указывается причина отказа в принятии заявки)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35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Представитель продавца:</w:t>
            </w:r>
          </w:p>
        </w:tc>
      </w:tr>
      <w:tr>
        <w:trPr/>
        <w:tc>
          <w:tcPr>
            <w:tcW w:w="50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5469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9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9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(должность)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18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auto"/>
      <w:kern w:val="2"/>
      <w:sz w:val="18"/>
      <w:szCs w:val="18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imes New Roman"/>
      <w:sz w:val="16"/>
      <w:lang w:val="ru-RU" w:eastAsia="ar-SA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Arial"/>
      <w:sz w:val="20"/>
      <w:szCs w:val="20"/>
      <w:lang w:val="ru-RU" w:eastAsia="ru-RU" w:bidi="ar-SA"/>
    </w:rPr>
  </w:style>
  <w:style w:type="paragraph" w:styleId="Style15">
    <w:name w:val="Знак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ConsNonformat">
    <w:name w:val="Con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ar-S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LibreOffice/6.0.1.1$Linux_x86 LibreOffice_project/00m0$Build-1</Application>
  <Pages>2</Pages>
  <Words>94</Words>
  <Characters>710</Characters>
  <CharactersWithSpaces>761</CharactersWithSpaces>
  <Paragraphs>43</Paragraphs>
  <Company>umiia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frv</dc:creator>
  <dc:description/>
  <dc:language>ru-RU</dc:language>
  <cp:lastModifiedBy/>
  <cp:lastPrinted>2012-11-26T14:23:00Z</cp:lastPrinted>
  <dcterms:modified xsi:type="dcterms:W3CDTF">2018-02-24T23:33:15Z</dcterms:modified>
  <cp:revision>4</cp:revision>
  <dc:subject/>
  <dc:title>Опись документов, прилагаемых к заявке на участие в аукционе (конкурсе)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umiia</vt:lpwstr>
  </property>
  <property fmtid="{D5CDD505-2E9C-101B-9397-08002B2CF9AE}" pid="3" name="Operator">
    <vt:lpwstr>Филаткин Р В</vt:lpwstr>
  </property>
</Properties>
</file>