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/>
    </w:p>
    <w:p>
      <w:pPr>
        <w:ind w:left="524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ind w:left="524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ind w:left="5245"/>
        <w:jc w:val="center"/>
        <w:rPr>
          <w:bCs/>
          <w:i/>
        </w:rPr>
      </w:pPr>
      <w:r>
        <w:rPr>
          <w:bCs/>
          <w:i/>
        </w:rPr>
        <w:t xml:space="preserve">от _______________ № ________</w:t>
      </w:r>
      <w:r/>
    </w:p>
    <w:p>
      <w:pPr>
        <w:ind w:left="5245"/>
        <w:rPr>
          <w:b/>
          <w:bCs/>
        </w:rPr>
      </w:pPr>
      <w:r>
        <w:rPr>
          <w:b/>
          <w:bCs/>
        </w:rPr>
      </w:r>
      <w:r/>
    </w:p>
    <w:p>
      <w:pPr>
        <w:ind w:firstLine="851"/>
        <w:rPr>
          <w:b/>
          <w:bCs/>
        </w:rPr>
      </w:pPr>
      <w:r>
        <w:rPr>
          <w:b/>
          <w:bCs/>
        </w:rPr>
      </w:r>
      <w:r/>
    </w:p>
    <w:p>
      <w:pPr>
        <w:pStyle w:val="898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  <w:t xml:space="preserve">ИЗВЕЩЕНИЕ</w:t>
      </w:r>
      <w:r/>
    </w:p>
    <w:p>
      <w:pPr>
        <w:pStyle w:val="898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  <w:t xml:space="preserve">О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/>
    </w:p>
    <w:p>
      <w:pPr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Управление имущественных и земельных отношений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Костромы сообщает о проведении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4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марта 2024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договора аренды земельного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электронный аукцион.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Основание проведения аукциона – постановление Администрации города Костромы от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</w:t>
      </w:r>
      <w:r>
        <w:rPr>
          <w:rFonts w:ascii="Times New Roman" w:hAnsi="Times New Roman" w:cs="Times New Roman"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1384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переулок Восточный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решение Думы города Костромы от 1 марта 2017 года № 22 «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б утверждении перечня муниципального имущества города Костромы,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аукциона могут быть: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</w:t>
      </w:r>
      <w:r>
        <w:rPr>
          <w:rFonts w:ascii="Times New Roman" w:hAnsi="Times New Roman" w:cs="Times New Roman"/>
          <w:sz w:val="24"/>
          <w:szCs w:val="24"/>
        </w:rPr>
        <w:t xml:space="preserve">зяйства, соответствующие критериям отнесения к субъектам малого и среднего предпринимательства в соответствии со статьей 4 Закона № 209-ФЗ, имеющие право на поддержку органами местного самоуправления в соответствии с частями 3, 5 статьи 14 Закона № 209-ФЗ;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.2. внесённые в Единый государственный реестр юридических лиц организации, образующие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(за исключением указанных в статье 15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Сведения о предмете аукциона: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переулок Восточный, земельный участок 2д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площадь: </w:t>
      </w:r>
      <w:r>
        <w:rPr>
          <w:rFonts w:ascii="Times New Roman" w:hAnsi="Times New Roman" w:cs="Times New Roman"/>
          <w:sz w:val="24"/>
          <w:szCs w:val="24"/>
        </w:rPr>
        <w:t xml:space="preserve">5935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в.м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кадастровый номер: 44:27:</w:t>
      </w:r>
      <w:r>
        <w:rPr>
          <w:rFonts w:ascii="Times New Roman" w:hAnsi="Times New Roman" w:cs="Times New Roman"/>
          <w:sz w:val="24"/>
          <w:szCs w:val="24"/>
        </w:rPr>
        <w:t xml:space="preserve">060101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805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земель: земли населенных пунктов;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роизводственная деятельность, связь, склад, целлюлозно-бумажная промышленность, деловое управление, обеспечение деятельности в области гидрометеорологии и смежных с ней областях, коммунальное обслуживание, автомобильный транспорт, хранение автотранс</w:t>
      </w:r>
      <w:r>
        <w:rPr>
          <w:rFonts w:ascii="Times New Roman" w:hAnsi="Times New Roman" w:cs="Times New Roman"/>
          <w:sz w:val="24"/>
          <w:szCs w:val="24"/>
        </w:rPr>
        <w:t xml:space="preserve">порта, амбулаторное ветеринарное обслуживание, обеспечение внутреннего правопорядка, трубопроводный транспорт, энергетика, объекты дорожного сервиса, легкая промышленность, научно-производственная деятельность, строительная промышленность, служебные гаражи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обременения и ограничения</w:t>
      </w:r>
      <w:r>
        <w:rPr>
          <w:rFonts w:ascii="Times New Roman" w:hAnsi="Times New Roman" w:cs="Times New Roman"/>
          <w:sz w:val="24"/>
          <w:szCs w:val="24"/>
        </w:rPr>
        <w:t xml:space="preserve">: участок расположен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приаэродромной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4"/>
          <w:szCs w:val="24"/>
        </w:rPr>
        <w:t xml:space="preserve">Сокеркино</w:t>
      </w:r>
      <w:r>
        <w:rPr>
          <w:rFonts w:ascii="Times New Roman" w:hAnsi="Times New Roman" w:cs="Times New Roman"/>
          <w:sz w:val="24"/>
          <w:szCs w:val="24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sz w:val="24"/>
          <w:szCs w:val="24"/>
        </w:rPr>
        <w:t xml:space="preserve">подзонах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приаэродромной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4"/>
          <w:szCs w:val="24"/>
        </w:rPr>
        <w:t xml:space="preserve">Сокеркино</w:t>
      </w:r>
      <w:r>
        <w:rPr>
          <w:rFonts w:ascii="Times New Roman" w:hAnsi="Times New Roman" w:cs="Times New Roman"/>
          <w:sz w:val="24"/>
          <w:szCs w:val="24"/>
        </w:rPr>
        <w:t xml:space="preserve">) (зоны с особыми условиями использования территории с реестровыми номерами 44:00-6.583; 44:00-6.584; 44:00-6.585; 44:00-6.593);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 в 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города Костромы, свободного от прав третьих лиц (за исключением права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: максимальный процент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0; предельное количество этажей – 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60; предельное количество этажей – 9;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60; предельное количество этажей –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целлюлозно</w:t>
      </w:r>
      <w:r>
        <w:rPr>
          <w:rFonts w:ascii="Times New Roman" w:hAnsi="Times New Roman" w:cs="Times New Roman"/>
          <w:sz w:val="24"/>
          <w:szCs w:val="24"/>
        </w:rPr>
        <w:t xml:space="preserve"> – бумажная промышленность: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60; предельное количество этажей – 9;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</w:t>
      </w:r>
      <w:r>
        <w:rPr>
          <w:rFonts w:ascii="Times New Roman" w:hAnsi="Times New Roman" w:cs="Times New Roman"/>
          <w:sz w:val="24"/>
          <w:szCs w:val="24"/>
        </w:rPr>
        <w:t xml:space="preserve">ки земельного участка – 4</w:t>
      </w:r>
      <w:r>
        <w:rPr>
          <w:rFonts w:ascii="Times New Roman" w:hAnsi="Times New Roman" w:cs="Times New Roman"/>
          <w:sz w:val="24"/>
          <w:szCs w:val="24"/>
        </w:rPr>
        <w:t xml:space="preserve">0; </w:t>
      </w:r>
      <w:r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 – 4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в области гидрометеорологии и смежных с ней областях: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0; предельное количество этажей –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обслуживание: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</w:t>
      </w:r>
      <w:r>
        <w:rPr>
          <w:rFonts w:ascii="Times New Roman" w:hAnsi="Times New Roman" w:cs="Times New Roman"/>
          <w:sz w:val="24"/>
          <w:szCs w:val="24"/>
        </w:rPr>
        <w:t xml:space="preserve">ройки земельного участка – 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 – 4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автотранспорта: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амбулаторное ветеринарное обслуживание: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0; предельное количество этажей –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внутреннего правопорядка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0; предельное количество этажей – 2; минимальный отступ от границ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трубопроводный транспорт: максимальный процент застройки земельного участка – 100; предельное количество этажей – 3; минимальный отступ от границ земельного участка – 0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энергетика: максимальный процент застройки земельного участка – 60; предельное количество этажей – 9; минимальный отступ от гр</w:t>
      </w:r>
      <w:r>
        <w:rPr>
          <w:rFonts w:ascii="Times New Roman" w:hAnsi="Times New Roman" w:cs="Times New Roman"/>
          <w:sz w:val="24"/>
          <w:szCs w:val="24"/>
        </w:rPr>
        <w:t xml:space="preserve">аниц земельного участка – 3 м;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дорожного сервиса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0; предельная высота зданий - 10,5 м;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промышленность: максимальный процент застройки земельного участка – 60; предельное количество этажей – 9;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научно-производственная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60; предельное количество этажей – 9; минимальный отступ от границ земельного участка – 3 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строительная промышленность: максимальный процент застройки земельного участка – 60; предельное количество этажей – 9;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служебные гаражи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–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0; предельное количество этажей –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минимальный отступ от границ земельного участка – 3 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срок аренды земельного участка: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sz w:val="24"/>
          <w:szCs w:val="24"/>
        </w:rPr>
        <w:t xml:space="preserve">Костромагорводоканал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.2023 № исх.02.11/</w:t>
      </w:r>
      <w:r>
        <w:rPr>
          <w:rFonts w:ascii="Times New Roman" w:hAnsi="Times New Roman" w:cs="Times New Roman"/>
          <w:sz w:val="24"/>
          <w:szCs w:val="24"/>
        </w:rPr>
        <w:t xml:space="preserve">4964</w:t>
      </w:r>
      <w:r>
        <w:rPr>
          <w:rFonts w:ascii="Times New Roman" w:hAnsi="Times New Roman" w:cs="Times New Roman"/>
          <w:sz w:val="24"/>
          <w:szCs w:val="24"/>
        </w:rPr>
        <w:t xml:space="preserve">д, от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.2023 № 02.11/</w:t>
      </w:r>
      <w:r>
        <w:rPr>
          <w:rFonts w:ascii="Times New Roman" w:hAnsi="Times New Roman" w:cs="Times New Roman"/>
          <w:sz w:val="24"/>
          <w:szCs w:val="24"/>
        </w:rPr>
        <w:t xml:space="preserve">4971</w:t>
      </w:r>
      <w:r>
        <w:rPr>
          <w:rFonts w:ascii="Times New Roman" w:hAnsi="Times New Roman" w:cs="Times New Roman"/>
          <w:sz w:val="24"/>
          <w:szCs w:val="24"/>
        </w:rPr>
        <w:t xml:space="preserve">д;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газоснабжение от АО «Газпром газораспределение Кострома» от </w:t>
      </w:r>
      <w:r>
        <w:rPr>
          <w:rFonts w:ascii="Times New Roman" w:hAnsi="Times New Roman" w:cs="Times New Roman"/>
          <w:sz w:val="24"/>
          <w:szCs w:val="24"/>
        </w:rPr>
        <w:t xml:space="preserve">28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 xml:space="preserve">ИС-</w:t>
      </w:r>
      <w:r>
        <w:rPr>
          <w:rFonts w:ascii="Times New Roman" w:hAnsi="Times New Roman" w:cs="Times New Roman"/>
          <w:sz w:val="24"/>
          <w:szCs w:val="24"/>
        </w:rPr>
        <w:t xml:space="preserve">15/</w:t>
      </w:r>
      <w:r>
        <w:rPr>
          <w:rFonts w:ascii="Times New Roman" w:hAnsi="Times New Roman" w:cs="Times New Roman"/>
          <w:sz w:val="24"/>
          <w:szCs w:val="24"/>
        </w:rPr>
        <w:t xml:space="preserve">3250</w:t>
      </w:r>
      <w:r>
        <w:rPr>
          <w:rFonts w:ascii="Times New Roman" w:hAnsi="Times New Roman" w:cs="Times New Roman"/>
          <w:sz w:val="24"/>
          <w:szCs w:val="24"/>
        </w:rPr>
        <w:t xml:space="preserve">, теплоснабжение от ПАО «ТГК-2» от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.2023 № 4201/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72</w:t>
      </w:r>
      <w:r>
        <w:rPr>
          <w:rFonts w:ascii="Times New Roman" w:hAnsi="Times New Roman" w:cs="Times New Roman"/>
          <w:sz w:val="24"/>
          <w:szCs w:val="24"/>
        </w:rPr>
        <w:t xml:space="preserve">-2023;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начальный размер ежегодной арендной платы: </w:t>
      </w:r>
      <w:r>
        <w:rPr>
          <w:rFonts w:ascii="Times New Roman" w:hAnsi="Times New Roman" w:cs="Times New Roman"/>
          <w:sz w:val="24"/>
          <w:szCs w:val="24"/>
        </w:rPr>
        <w:t xml:space="preserve">711 000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семьсот одиннадцать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33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двадцать 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а триста тридцать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711 000 (семьсот одиннадцать тысяч)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аукциона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</w:t>
      </w:r>
      <w:r>
        <w:rPr>
          <w:rFonts w:ascii="Times New Roman" w:hAnsi="Times New Roman" w:cs="Times New Roman"/>
          <w:sz w:val="24"/>
          <w:szCs w:val="24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uizo@gradkostroma.ru (далее – организатор).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(Приложение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с указанием 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на сайте </w:t>
      </w:r>
      <w:hyperlink r:id="rId9" w:tooltip="https://www.rts-tender.ru/" w:history="1">
        <w:r>
          <w:rPr>
            <w:rStyle w:val="884"/>
            <w:rFonts w:ascii="Times New Roman" w:hAnsi="Times New Roman" w:eastAsia="Calibri" w:cs="Times New Roman"/>
            <w:sz w:val="24"/>
            <w:szCs w:val="24"/>
          </w:rPr>
          <w:t xml:space="preserve">https://www.rts-tender.ru/</w:t>
        </w:r>
      </w:hyperlink>
      <w:r>
        <w:rPr>
          <w:rFonts w:ascii="Times New Roman" w:hAnsi="Times New Roman" w:eastAsia="Calibri" w:cs="Times New Roman"/>
          <w:sz w:val="24"/>
          <w:szCs w:val="24"/>
        </w:rPr>
        <w:t xml:space="preserve"> (ООО «РТС-тендер»)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К заявке на участие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- копии документов, удостоверяющих личность (для физических лиц);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В случа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аявители декларируют свою принадлежность к субъектам малого и среднего предпринимате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от 24 июля 2007 год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а N 209-ФЗ "О развитии малого и среднего предпринимательства в Российской Федерации",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один ЛОТ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Дата и время начала подачи заявок: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30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января 2024 года с 10 час 00 мин. по местному времени.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9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Дата и время окончания подачи заявок: 29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февраля 2024 года в 18 час 00 мин. по местному времени.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" w:history="1">
        <w:r>
          <w:rPr>
            <w:rStyle w:val="884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884"/>
            <w:rFonts w:ascii="Times New Roman" w:hAnsi="Times New Roman" w:cs="Times New Roman"/>
            <w:sz w:val="24"/>
            <w:szCs w:val="24"/>
          </w:rPr>
          <w:t xml:space="preserve">. </w:t>
        </w:r>
        <w:r>
          <w:rPr>
            <w:rStyle w:val="884"/>
            <w:rFonts w:ascii="Times New Roman" w:hAnsi="Times New Roman" w:cs="Times New Roman"/>
            <w:sz w:val="24"/>
            <w:szCs w:val="24"/>
            <w:lang w:val="en-US"/>
          </w:rPr>
          <w:t xml:space="preserve">i</w:t>
        </w:r>
        <w:r>
          <w:rPr>
            <w:rStyle w:val="88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884"/>
            <w:rFonts w:ascii="Times New Roman" w:hAnsi="Times New Roman" w:cs="Times New Roman"/>
            <w:sz w:val="24"/>
            <w:szCs w:val="24"/>
            <w:lang w:val="en-US"/>
          </w:rPr>
          <w:t xml:space="preserve">rts</w:t>
        </w:r>
        <w:r>
          <w:rPr>
            <w:rStyle w:val="884"/>
            <w:rFonts w:ascii="Times New Roman" w:hAnsi="Times New Roman" w:cs="Times New Roman"/>
            <w:sz w:val="24"/>
            <w:szCs w:val="24"/>
          </w:rPr>
          <w:t xml:space="preserve">-</w:t>
        </w:r>
        <w:r>
          <w:rPr>
            <w:rStyle w:val="884"/>
            <w:rFonts w:ascii="Times New Roman" w:hAnsi="Times New Roman" w:cs="Times New Roman"/>
            <w:sz w:val="24"/>
            <w:szCs w:val="24"/>
            <w:lang w:val="en-US"/>
          </w:rPr>
          <w:t xml:space="preserve">tender</w:t>
        </w:r>
        <w:r>
          <w:rPr>
            <w:rStyle w:val="884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884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(ООО «РТС-тендер»)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должен поступить не позднее: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марта 2024 года (8 час. 00 мин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московское) по следующим реквизитам: ООО "РТС-тендер"; Наименование банка: Филиал "Корпоративный" ПАО 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Совкомбанк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Расчетный счёт: 40702810512030016362 Корр. счёт:30101810445250000360 БИК:044525360 ИНН:7710357167 КПП:773001001, назначение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платежа: задаток для участия в аукционе. С момента перечисления претендентом задатка, договор о задатке считается заключенным в установленном порядке.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Возврат задатка производится в следующих случаях: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случае отказа Организатора аукциона от проведения аукциона задаток возвращается в течение трех дней со дня принятия решения об отказе в проведении аукциона.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Победителю аукциона, либо единственному приз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нанному участником аукциона заявителю, а также участнику, подавшему единственную заявку на участие в аукционе, или единственному принявшему участие в аукционе участнику, уклонившемуся от заключения договора по результатам аукциона, задаток не возвращается.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Осмотр земельного участка осуществляется претендентами самостоятельно по месту нахождения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 w:cs="Times New Roman"/>
          <w:sz w:val="24"/>
          <w:szCs w:val="24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884"/>
            <w:rFonts w:ascii="Times New Roman" w:hAnsi="Times New Roman" w:cs="Times New Roman"/>
            <w:sz w:val="24"/>
            <w:szCs w:val="24"/>
          </w:rPr>
          <w:t xml:space="preserve">https://www.rts-tender.ru/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(ООО «РТС-тендер») во вкладке ТАРИФЫ/ИМУЩЕСТВЕННЫЕ ТОРГИ.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дата, время и порядок определения участников аукциона: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2024 года в 10 час. 00 мин</w:t>
      </w:r>
      <w:r>
        <w:rPr>
          <w:rFonts w:ascii="Times New Roman" w:hAnsi="Times New Roman" w:cs="Times New Roman"/>
          <w:sz w:val="24"/>
          <w:szCs w:val="24"/>
        </w:rPr>
        <w:t xml:space="preserve">.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http://www.rts-tender.ru" w:history="1">
        <w:r>
          <w:rPr>
            <w:rStyle w:val="884"/>
            <w:rFonts w:ascii="Times New Roman" w:hAnsi="Times New Roman" w:cs="Times New Roman"/>
            <w:sz w:val="24"/>
            <w:szCs w:val="24"/>
          </w:rPr>
          <w:t xml:space="preserve">www.rts-tender.ru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(ООО «РТС-тендер»).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проводится без участия заявителей (претендентов).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Дата, место, время и порядок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марта 2024 года в 10 час. 00 мин.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hyperlink r:id="rId13" w:tooltip="https://www.rts-tender.ru/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https://www.rts-tender.ru/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(ООО «РТС-тендер») в соответствии с регламентом электронной площадки.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Победителем признается участник, предложивший в ходе аукциона наибольшую цену.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</w:t>
      </w:r>
      <w:r>
        <w:rPr>
          <w:rFonts w:ascii="Times New Roman" w:hAnsi="Times New Roman" w:cs="Times New Roman"/>
          <w:sz w:val="24"/>
          <w:szCs w:val="24"/>
        </w:rPr>
        <w:t xml:space="preserve">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не </w:t>
      </w:r>
      <w:r>
        <w:rPr>
          <w:rFonts w:ascii="Times New Roman" w:hAnsi="Times New Roman" w:cs="Times New Roman"/>
          <w:sz w:val="24"/>
          <w:szCs w:val="24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пяти дней со дня истечения срока, предусмотренного пунктом 14, направляет победителю электронного аукциона или иным лицам,</w:t>
      </w:r>
      <w:r>
        <w:rPr>
          <w:rFonts w:ascii="Times New Roman" w:hAnsi="Times New Roman" w:cs="Times New Roman"/>
          <w:sz w:val="24"/>
          <w:szCs w:val="24"/>
        </w:rPr>
        <w:t xml:space="preserve">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победившим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нем.   </w:t>
      </w:r>
      <w:r>
        <w:rPr>
          <w:rFonts w:ascii="Times New Roman" w:hAnsi="Times New Roman" w:cs="Times New Roman"/>
          <w:sz w:val="24"/>
          <w:szCs w:val="24"/>
        </w:rPr>
        <w:br w:type="page" w:clear="all"/>
      </w:r>
      <w:bookmarkEnd w:id="0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9"/>
        <w:ind w:firstLine="709"/>
        <w:jc w:val="right"/>
        <w:widowControl w:val="off"/>
      </w:pP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</w:rPr>
      </w:r>
      <w:r/>
    </w:p>
    <w:p>
      <w:pPr>
        <w:pStyle w:val="709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09"/>
        <w:jc w:val="center"/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pStyle w:val="709"/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pStyle w:val="709"/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pStyle w:val="709"/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09"/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pStyle w:val="709"/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09"/>
        <w:jc w:val="both"/>
        <w:pBdr>
          <w:bottom w:val="single" w:color="000000" w:sz="4" w:space="0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09"/>
        <w:jc w:val="center"/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09"/>
        <w:jc w:val="both"/>
        <w:pBdr>
          <w:bottom w:val="single" w:color="000000" w:sz="4" w:space="0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900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/>
    </w:p>
    <w:p>
      <w:pPr>
        <w:pStyle w:val="709"/>
        <w:jc w:val="center"/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09"/>
              <w:widowControl w:val="off"/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900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pStyle w:val="709"/>
              <w:jc w:val="center"/>
              <w:widowControl w:val="off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9"/>
              <w:jc w:val="both"/>
              <w:widowControl w:val="off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pStyle w:val="709"/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pStyle w:val="709"/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709"/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pStyle w:val="709"/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709"/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pStyle w:val="709"/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pStyle w:val="709"/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pStyle w:val="709"/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1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900"/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1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900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09"/>
        <w:numPr>
          <w:ilvl w:val="0"/>
          <w:numId w:val="8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09"/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pStyle w:val="709"/>
        <w:spacing w:before="0"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pStyle w:val="709"/>
        <w:spacing w:before="0" w:after="160" w:line="259" w:lineRule="auto"/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03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120" w:after="0"/>
              <w:widowControl/>
              <w:rPr>
                <w:bCs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>
              <w:rPr>
                <w:b/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9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</w:tbl>
    <w:p>
      <w:pPr>
        <w:pStyle w:val="709"/>
        <w:ind w:left="7655" w:firstLine="0"/>
        <w:jc w:val="both"/>
        <w:widowControl w:val="off"/>
        <w:rPr>
          <w:b/>
          <w:bCs/>
          <w:sz w:val="18"/>
          <w:szCs w:val="18"/>
          <w:lang w:eastAsia="zh-CN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left="7655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br w:type="page" w:clear="all"/>
      </w:r>
      <w:r/>
    </w:p>
    <w:p>
      <w:pPr>
        <w:ind w:left="7655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/>
    </w:p>
    <w:p>
      <w:pPr>
        <w:ind w:firstLine="851"/>
        <w:jc w:val="center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851"/>
        <w:jc w:val="center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ЗЕМЕЛЬНОГО УЧАСТКА </w:t>
      </w:r>
      <w:r>
        <w:rPr>
          <w:b/>
          <w:sz w:val="20"/>
          <w:szCs w:val="20"/>
        </w:rPr>
        <w:t xml:space="preserve">№._</w:t>
      </w:r>
      <w:r>
        <w:rPr>
          <w:b/>
          <w:sz w:val="20"/>
          <w:szCs w:val="20"/>
        </w:rPr>
        <w:t xml:space="preserve">______</w:t>
      </w:r>
      <w:r/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город Кострома                                                                                                              </w:t>
      </w:r>
      <w:r>
        <w:rPr>
          <w:sz w:val="20"/>
          <w:szCs w:val="20"/>
        </w:rPr>
        <w:t xml:space="preserve">   «</w:t>
      </w:r>
      <w:r>
        <w:rPr>
          <w:sz w:val="20"/>
          <w:szCs w:val="20"/>
        </w:rPr>
        <w:t xml:space="preserve">___» _________ 20__ года 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/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</w:t>
      </w:r>
      <w:r/>
    </w:p>
    <w:p>
      <w:pPr>
        <w:ind w:firstLine="720"/>
        <w:jc w:val="both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numPr>
          <w:ilvl w:val="1"/>
          <w:numId w:val="4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</w:t>
      </w:r>
      <w:r>
        <w:rPr>
          <w:sz w:val="20"/>
          <w:szCs w:val="20"/>
        </w:rPr>
        <w:t xml:space="preserve">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</w:t>
      </w:r>
      <w:r>
        <w:rPr>
          <w:sz w:val="20"/>
          <w:szCs w:val="20"/>
        </w:rPr>
        <w:t xml:space="preserve">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r>
        <w:rPr>
          <w:sz w:val="20"/>
          <w:szCs w:val="20"/>
        </w:rPr>
        <w:t xml:space="preserve">ов</w:t>
      </w:r>
      <w:r>
        <w:rPr>
          <w:sz w:val="20"/>
          <w:szCs w:val="20"/>
        </w:rPr>
        <w:t xml:space="preserve">).</w:t>
      </w:r>
      <w:r/>
    </w:p>
    <w:p>
      <w:pPr>
        <w:numPr>
          <w:ilvl w:val="1"/>
          <w:numId w:val="4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Участок имеет следующие ограничения (обременения):</w:t>
      </w:r>
      <w:r/>
    </w:p>
    <w:p>
      <w:pPr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Срок Договора</w:t>
      </w:r>
      <w:r/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numPr>
          <w:ilvl w:val="1"/>
          <w:numId w:val="5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/>
    </w:p>
    <w:p>
      <w:pPr>
        <w:numPr>
          <w:ilvl w:val="1"/>
          <w:numId w:val="5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/>
    </w:p>
    <w:p>
      <w:pPr>
        <w:numPr>
          <w:ilvl w:val="1"/>
          <w:numId w:val="5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/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numPr>
          <w:ilvl w:val="1"/>
          <w:numId w:val="6"/>
        </w:numPr>
        <w:ind w:left="0" w:right="-5" w:firstLine="851"/>
        <w:jc w:val="both"/>
        <w:widowControl w:val="off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/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sz w:val="20"/>
          <w:szCs w:val="20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арендную плату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/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/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/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/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/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/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Права и обязанности Сторон</w:t>
      </w:r>
      <w:r/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 Арендодатель имеет право: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 Арендодатель обязан: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 Арендатор имеет право: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 Арендатор обязан: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4.4.4.</w:t>
      </w:r>
      <w:r>
        <w:rPr>
          <w:sz w:val="20"/>
          <w:szCs w:val="20"/>
        </w:rPr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</w:t>
      </w:r>
      <w:r>
        <w:rPr>
          <w:sz w:val="20"/>
          <w:szCs w:val="20"/>
        </w:rPr>
        <w:t xml:space="preserve">так же</w:t>
      </w:r>
      <w:r>
        <w:rPr>
          <w:sz w:val="20"/>
          <w:szCs w:val="20"/>
        </w:rPr>
        <w:t xml:space="preserve"> иные требования, установленные действующим законодательством.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/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Ответственность Сторон</w:t>
      </w:r>
      <w:r/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</w:t>
      </w:r>
      <w:r>
        <w:rPr>
          <w:sz w:val="20"/>
          <w:szCs w:val="20"/>
        </w:rPr>
        <w:t xml:space="preserve">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</w:t>
      </w:r>
      <w:r>
        <w:rPr>
          <w:sz w:val="20"/>
          <w:szCs w:val="20"/>
        </w:rPr>
        <w:t xml:space="preserve">визиты: УФК МФ России по Костромской области 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КПП 440101001 в Отделение Кострома </w:t>
      </w:r>
      <w:r>
        <w:rPr>
          <w:sz w:val="20"/>
          <w:szCs w:val="20"/>
        </w:rPr>
        <w:t xml:space="preserve">г.Кострома</w:t>
      </w:r>
      <w:r>
        <w:rPr>
          <w:sz w:val="20"/>
          <w:szCs w:val="20"/>
        </w:rPr>
        <w:t xml:space="preserve">, БИК 043469001, ОКТМО 34701000, код бюджетной классификации (КБК) 96611607090040000140.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5.5. В случае невыполнения действий, указанных в пунктах 4.4.6, 4.4.8, 4.4.11, 4.4.13 Договора, Арендатор уплачивает штраф в размере 1/12 ежегодной арендной платы.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/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/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/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Особые условия договора</w:t>
      </w:r>
      <w:r/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Реквизиты Сторон</w:t>
      </w:r>
      <w:r/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/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Арендатор:  _</w:t>
      </w:r>
      <w:r>
        <w:rPr>
          <w:sz w:val="20"/>
          <w:szCs w:val="20"/>
        </w:rPr>
        <w:t xml:space="preserve">_____________________________________________________</w:t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Подписи Сторон</w:t>
      </w:r>
      <w:r/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>
        <w:trPr/>
        <w:tc>
          <w:tcPr>
            <w:tcW w:w="53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Арендодатель:</w:t>
            </w:r>
            <w:r/>
          </w:p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ind w:firstLine="6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</w:t>
            </w:r>
            <w:r/>
          </w:p>
        </w:tc>
      </w:tr>
      <w:tr>
        <w:trPr/>
        <w:tc>
          <w:tcPr>
            <w:tcW w:w="53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8" w:type="dxa"/>
            <w:textDirection w:val="lrTb"/>
            <w:noWrap w:val="false"/>
          </w:tcPr>
          <w:p>
            <w:pPr>
              <w:ind w:firstLine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</w:t>
            </w:r>
            <w:r/>
          </w:p>
          <w:p>
            <w:pPr>
              <w:ind w:firstLine="18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ind w:firstLine="60"/>
              <w:jc w:val="center"/>
              <w:widowControl w:val="off"/>
              <w:tabs>
                <w:tab w:val="left" w:pos="18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</w:t>
            </w:r>
            <w:r/>
          </w:p>
        </w:tc>
      </w:tr>
    </w:tbl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a_Timer">
    <w:panose1 w:val="02000603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01"/>
        <w:contextualSpacing/>
        <w:jc w:val="both"/>
        <w:spacing w:before="0" w:after="0" w:line="216" w:lineRule="auto"/>
      </w:pPr>
      <w:r>
        <w:rPr>
          <w:rStyle w:val="1_1039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  <w:r/>
    </w:p>
  </w:footnote>
  <w:footnote w:id="3">
    <w:p>
      <w:pPr>
        <w:pStyle w:val="709"/>
        <w:jc w:val="both"/>
      </w:pPr>
      <w:r>
        <w:rPr>
          <w:rStyle w:val="1_1039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  <w:r/>
    </w:p>
  </w:footnote>
  <w:footnote w:id="4">
    <w:p>
      <w:pPr>
        <w:pStyle w:val="901"/>
        <w:contextualSpacing/>
        <w:jc w:val="both"/>
        <w:spacing w:before="0" w:after="0" w:line="216" w:lineRule="auto"/>
      </w:pPr>
      <w:r>
        <w:rPr>
          <w:rStyle w:val="1_1039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</w:r>
      <w:r/>
    </w:p>
  </w:footnote>
  <w:footnote w:id="5">
    <w:p>
      <w:pPr>
        <w:pStyle w:val="901"/>
        <w:contextualSpacing/>
        <w:jc w:val="both"/>
        <w:spacing w:before="0" w:after="0" w:line="216" w:lineRule="auto"/>
      </w:pPr>
      <w:r>
        <w:rPr>
          <w:rStyle w:val="1_1039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hint="default"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  <w:tabs>
          <w:tab w:val="left" w:pos="2160" w:leader="none"/>
        </w:tabs>
      </w:pPr>
      <w:rPr>
        <w:rFonts w:hint="default"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hint="default"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hint="default"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  <w:tabs>
          <w:tab w:val="left" w:pos="4320" w:leader="none"/>
        </w:tabs>
      </w:pPr>
      <w:rPr>
        <w:rFonts w:hint="default"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hint="default"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hint="default"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  <w:tabs>
          <w:tab w:val="left" w:pos="6480" w:leader="none"/>
        </w:tabs>
      </w:pPr>
      <w:rPr>
        <w:rFonts w:hint="default" w:ascii="Times New Roman" w:hAnsi="Times New Roman"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1 Char"/>
    <w:basedOn w:val="719"/>
    <w:link w:val="710"/>
    <w:uiPriority w:val="9"/>
    <w:rPr>
      <w:rFonts w:ascii="Arial" w:hAnsi="Arial" w:eastAsia="Arial" w:cs="Arial"/>
      <w:sz w:val="40"/>
      <w:szCs w:val="40"/>
    </w:rPr>
  </w:style>
  <w:style w:type="character" w:styleId="696">
    <w:name w:val="Heading 2 Char"/>
    <w:basedOn w:val="719"/>
    <w:link w:val="711"/>
    <w:uiPriority w:val="9"/>
    <w:rPr>
      <w:rFonts w:ascii="Arial" w:hAnsi="Arial" w:eastAsia="Arial" w:cs="Arial"/>
      <w:sz w:val="34"/>
    </w:rPr>
  </w:style>
  <w:style w:type="character" w:styleId="697">
    <w:name w:val="Heading 3 Char"/>
    <w:basedOn w:val="719"/>
    <w:link w:val="712"/>
    <w:uiPriority w:val="9"/>
    <w:rPr>
      <w:rFonts w:ascii="Arial" w:hAnsi="Arial" w:eastAsia="Arial" w:cs="Arial"/>
      <w:sz w:val="30"/>
      <w:szCs w:val="30"/>
    </w:rPr>
  </w:style>
  <w:style w:type="character" w:styleId="698">
    <w:name w:val="Heading 4 Char"/>
    <w:basedOn w:val="719"/>
    <w:link w:val="713"/>
    <w:uiPriority w:val="9"/>
    <w:rPr>
      <w:rFonts w:ascii="Arial" w:hAnsi="Arial" w:eastAsia="Arial" w:cs="Arial"/>
      <w:b/>
      <w:bCs/>
      <w:sz w:val="26"/>
      <w:szCs w:val="26"/>
    </w:rPr>
  </w:style>
  <w:style w:type="character" w:styleId="699">
    <w:name w:val="Heading 5 Char"/>
    <w:basedOn w:val="719"/>
    <w:link w:val="714"/>
    <w:uiPriority w:val="9"/>
    <w:rPr>
      <w:rFonts w:ascii="Arial" w:hAnsi="Arial" w:eastAsia="Arial" w:cs="Arial"/>
      <w:b/>
      <w:bCs/>
      <w:sz w:val="24"/>
      <w:szCs w:val="24"/>
    </w:rPr>
  </w:style>
  <w:style w:type="character" w:styleId="700">
    <w:name w:val="Heading 6 Char"/>
    <w:basedOn w:val="719"/>
    <w:link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01">
    <w:name w:val="Heading 7 Char"/>
    <w:basedOn w:val="719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8 Char"/>
    <w:basedOn w:val="719"/>
    <w:link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03">
    <w:name w:val="Heading 9 Char"/>
    <w:basedOn w:val="719"/>
    <w:link w:val="718"/>
    <w:uiPriority w:val="9"/>
    <w:rPr>
      <w:rFonts w:ascii="Arial" w:hAnsi="Arial" w:eastAsia="Arial" w:cs="Arial"/>
      <w:i/>
      <w:iCs/>
      <w:sz w:val="21"/>
      <w:szCs w:val="21"/>
    </w:rPr>
  </w:style>
  <w:style w:type="character" w:styleId="704">
    <w:name w:val="Title Char"/>
    <w:basedOn w:val="719"/>
    <w:link w:val="731"/>
    <w:uiPriority w:val="10"/>
    <w:rPr>
      <w:sz w:val="48"/>
      <w:szCs w:val="48"/>
    </w:rPr>
  </w:style>
  <w:style w:type="character" w:styleId="705">
    <w:name w:val="Subtitle Char"/>
    <w:basedOn w:val="719"/>
    <w:link w:val="733"/>
    <w:uiPriority w:val="11"/>
    <w:rPr>
      <w:sz w:val="24"/>
      <w:szCs w:val="24"/>
    </w:rPr>
  </w:style>
  <w:style w:type="character" w:styleId="706">
    <w:name w:val="Quote Char"/>
    <w:link w:val="735"/>
    <w:uiPriority w:val="29"/>
    <w:rPr>
      <w:i/>
    </w:rPr>
  </w:style>
  <w:style w:type="character" w:styleId="707">
    <w:name w:val="Intense Quote Char"/>
    <w:link w:val="737"/>
    <w:uiPriority w:val="30"/>
    <w:rPr>
      <w:i/>
    </w:rPr>
  </w:style>
  <w:style w:type="character" w:styleId="708">
    <w:name w:val="Endnote Text Char"/>
    <w:link w:val="869"/>
    <w:uiPriority w:val="99"/>
    <w:rPr>
      <w:sz w:val="20"/>
    </w:rPr>
  </w:style>
  <w:style w:type="paragraph" w:styleId="709" w:default="1">
    <w:name w:val="Normal"/>
    <w:qFormat/>
    <w:rPr>
      <w:rFonts w:ascii="Times New Roman" w:hAnsi="Times New Roman" w:eastAsia="Times New Roman" w:cs="Times New Roman"/>
      <w:sz w:val="24"/>
      <w:szCs w:val="24"/>
    </w:rPr>
  </w:style>
  <w:style w:type="paragraph" w:styleId="710">
    <w:name w:val="Heading 1"/>
    <w:basedOn w:val="709"/>
    <w:next w:val="709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1">
    <w:name w:val="Heading 2"/>
    <w:basedOn w:val="709"/>
    <w:next w:val="709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2">
    <w:name w:val="Heading 3"/>
    <w:basedOn w:val="709"/>
    <w:next w:val="709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3">
    <w:name w:val="Heading 4"/>
    <w:basedOn w:val="709"/>
    <w:next w:val="709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709"/>
    <w:next w:val="709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5">
    <w:name w:val="Heading 6"/>
    <w:basedOn w:val="709"/>
    <w:next w:val="70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709"/>
    <w:next w:val="709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709"/>
    <w:next w:val="709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709"/>
    <w:next w:val="709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eastAsia="Arial" w:cs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eastAsia="Arial" w:cs="Arial"/>
      <w:sz w:val="34"/>
    </w:rPr>
  </w:style>
  <w:style w:type="character" w:styleId="724" w:customStyle="1">
    <w:name w:val="Заголовок 3 Знак"/>
    <w:basedOn w:val="719"/>
    <w:link w:val="712"/>
    <w:uiPriority w:val="9"/>
    <w:rPr>
      <w:rFonts w:ascii="Arial" w:hAnsi="Arial" w:eastAsia="Arial" w:cs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eastAsia="Arial" w:cs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Title"/>
    <w:basedOn w:val="709"/>
    <w:next w:val="709"/>
    <w:link w:val="73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2" w:customStyle="1">
    <w:name w:val="Заголовок Знак"/>
    <w:basedOn w:val="719"/>
    <w:link w:val="731"/>
    <w:uiPriority w:val="10"/>
    <w:rPr>
      <w:sz w:val="48"/>
      <w:szCs w:val="48"/>
    </w:rPr>
  </w:style>
  <w:style w:type="paragraph" w:styleId="733">
    <w:name w:val="Subtitle"/>
    <w:basedOn w:val="709"/>
    <w:next w:val="709"/>
    <w:link w:val="734"/>
    <w:uiPriority w:val="11"/>
    <w:qFormat/>
    <w:pPr>
      <w:spacing w:before="200" w:after="200"/>
    </w:pPr>
  </w:style>
  <w:style w:type="character" w:styleId="734" w:customStyle="1">
    <w:name w:val="Подзаголовок Знак"/>
    <w:basedOn w:val="719"/>
    <w:link w:val="733"/>
    <w:uiPriority w:val="11"/>
    <w:rPr>
      <w:sz w:val="24"/>
      <w:szCs w:val="24"/>
    </w:rPr>
  </w:style>
  <w:style w:type="paragraph" w:styleId="735">
    <w:name w:val="Quote"/>
    <w:basedOn w:val="709"/>
    <w:next w:val="709"/>
    <w:link w:val="736"/>
    <w:uiPriority w:val="29"/>
    <w:qFormat/>
    <w:pPr>
      <w:ind w:left="720" w:right="720"/>
    </w:pPr>
    <w:rPr>
      <w:i/>
    </w:r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709"/>
    <w:next w:val="709"/>
    <w:link w:val="73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719"/>
    <w:uiPriority w:val="99"/>
  </w:style>
  <w:style w:type="character" w:styleId="740" w:customStyle="1">
    <w:name w:val="Footer Char"/>
    <w:basedOn w:val="719"/>
    <w:uiPriority w:val="99"/>
  </w:style>
  <w:style w:type="paragraph" w:styleId="741">
    <w:name w:val="Caption"/>
    <w:basedOn w:val="709"/>
    <w:next w:val="7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 w:customStyle="1">
    <w:name w:val="Caption Char"/>
    <w:uiPriority w:val="99"/>
  </w:style>
  <w:style w:type="table" w:styleId="743" w:customStyle="1">
    <w:name w:val="Table Grid Light"/>
    <w:basedOn w:val="7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4">
    <w:name w:val="Plain Table 1"/>
    <w:basedOn w:val="7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2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72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2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2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2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2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2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2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7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1"/>
    <w:basedOn w:val="72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2"/>
    <w:basedOn w:val="72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3"/>
    <w:basedOn w:val="72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4"/>
    <w:basedOn w:val="72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5"/>
    <w:basedOn w:val="72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6"/>
    <w:basedOn w:val="72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7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1"/>
    <w:basedOn w:val="72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2"/>
    <w:basedOn w:val="72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3"/>
    <w:basedOn w:val="72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4"/>
    <w:basedOn w:val="72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5"/>
    <w:basedOn w:val="72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6"/>
    <w:basedOn w:val="72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72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 w:customStyle="1">
    <w:name w:val="Grid Table 4 - Accent 1"/>
    <w:basedOn w:val="72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2" w:customStyle="1">
    <w:name w:val="Grid Table 4 - Accent 2"/>
    <w:basedOn w:val="72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3" w:customStyle="1">
    <w:name w:val="Grid Table 4 - Accent 3"/>
    <w:basedOn w:val="72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4" w:customStyle="1">
    <w:name w:val="Grid Table 4 - Accent 4"/>
    <w:basedOn w:val="72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5" w:customStyle="1">
    <w:name w:val="Grid Table 4 - Accent 5"/>
    <w:basedOn w:val="72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6" w:customStyle="1">
    <w:name w:val="Grid Table 4 - Accent 6"/>
    <w:basedOn w:val="72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7">
    <w:name w:val="Grid Table 5 Dark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1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2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3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4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5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6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4">
    <w:name w:val="Grid Table 6 Colorful"/>
    <w:basedOn w:val="72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2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basedOn w:val="72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basedOn w:val="72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basedOn w:val="72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basedOn w:val="72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basedOn w:val="72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basedOn w:val="72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Grid Table 7 Colorful - Accent 1"/>
    <w:basedOn w:val="72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2"/>
    <w:basedOn w:val="72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3"/>
    <w:basedOn w:val="72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Grid Table 7 Colorful - Accent 4"/>
    <w:basedOn w:val="72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Grid Table 7 Colorful - Accent 5"/>
    <w:basedOn w:val="72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6"/>
    <w:basedOn w:val="72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>
    <w:name w:val="List Table 1 Light"/>
    <w:basedOn w:val="72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1"/>
    <w:basedOn w:val="720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2"/>
    <w:basedOn w:val="720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3"/>
    <w:basedOn w:val="720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4"/>
    <w:basedOn w:val="720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5"/>
    <w:basedOn w:val="720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6"/>
    <w:basedOn w:val="720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72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1"/>
    <w:basedOn w:val="72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2"/>
    <w:basedOn w:val="72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3"/>
    <w:basedOn w:val="72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4"/>
    <w:basedOn w:val="72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5"/>
    <w:basedOn w:val="72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6"/>
    <w:basedOn w:val="72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7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2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2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2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2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2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2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7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2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2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2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2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2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2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72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2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2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2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2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2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2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basedOn w:val="72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4" w:customStyle="1">
    <w:name w:val="List Table 6 Colorful - Accent 1"/>
    <w:basedOn w:val="72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5" w:customStyle="1">
    <w:name w:val="List Table 6 Colorful - Accent 2"/>
    <w:basedOn w:val="72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List Table 6 Colorful - Accent 3"/>
    <w:basedOn w:val="72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7" w:customStyle="1">
    <w:name w:val="List Table 6 Colorful - Accent 4"/>
    <w:basedOn w:val="72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List Table 6 Colorful - Accent 5"/>
    <w:basedOn w:val="72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9" w:customStyle="1">
    <w:name w:val="List Table 6 Colorful - Accent 6"/>
    <w:basedOn w:val="72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0">
    <w:name w:val="List Table 7 Colorful"/>
    <w:basedOn w:val="72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st Table 7 Colorful - Accent 1"/>
    <w:basedOn w:val="72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2"/>
    <w:basedOn w:val="72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3"/>
    <w:basedOn w:val="72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st Table 7 Colorful - Accent 4"/>
    <w:basedOn w:val="72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5" w:customStyle="1">
    <w:name w:val="List Table 7 Colorful - Accent 5"/>
    <w:basedOn w:val="72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6"/>
    <w:basedOn w:val="72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ned - Accent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Lined - Accent 1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Lined - Accent 2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Lined - Accent 3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Lined - Accent 4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Lined - Accent 5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Lined - Accent 6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 &amp; Lined - Accent"/>
    <w:basedOn w:val="72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Bordered &amp; Lined - Accent 1"/>
    <w:basedOn w:val="720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Bordered &amp; Lined - Accent 2"/>
    <w:basedOn w:val="720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Bordered &amp; Lined - Accent 3"/>
    <w:basedOn w:val="720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Bordered &amp; Lined - Accent 4"/>
    <w:basedOn w:val="720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Bordered &amp; Lined - Accent 5"/>
    <w:basedOn w:val="720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Bordered &amp; Lined - Accent 6"/>
    <w:basedOn w:val="720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"/>
    <w:basedOn w:val="72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2" w:customStyle="1">
    <w:name w:val="Bordered - Accent 1"/>
    <w:basedOn w:val="72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3" w:customStyle="1">
    <w:name w:val="Bordered - Accent 2"/>
    <w:basedOn w:val="72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4" w:customStyle="1">
    <w:name w:val="Bordered - Accent 3"/>
    <w:basedOn w:val="72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5" w:customStyle="1">
    <w:name w:val="Bordered - Accent 4"/>
    <w:basedOn w:val="72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6" w:customStyle="1">
    <w:name w:val="Bordered - Accent 5"/>
    <w:basedOn w:val="72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7" w:customStyle="1">
    <w:name w:val="Bordered - Accent 6"/>
    <w:basedOn w:val="72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8" w:customStyle="1">
    <w:name w:val="Footnote Text Char"/>
    <w:uiPriority w:val="99"/>
    <w:rPr>
      <w:sz w:val="18"/>
    </w:rPr>
  </w:style>
  <w:style w:type="paragraph" w:styleId="869">
    <w:name w:val="endnote text"/>
    <w:basedOn w:val="709"/>
    <w:link w:val="870"/>
    <w:uiPriority w:val="99"/>
    <w:semiHidden/>
    <w:unhideWhenUsed/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19"/>
    <w:uiPriority w:val="99"/>
    <w:semiHidden/>
    <w:unhideWhenUsed/>
    <w:rPr>
      <w:vertAlign w:val="superscript"/>
    </w:rPr>
  </w:style>
  <w:style w:type="paragraph" w:styleId="872">
    <w:name w:val="toc 1"/>
    <w:basedOn w:val="709"/>
    <w:next w:val="709"/>
    <w:uiPriority w:val="39"/>
    <w:unhideWhenUsed/>
    <w:pPr>
      <w:spacing w:after="57"/>
    </w:pPr>
  </w:style>
  <w:style w:type="paragraph" w:styleId="873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74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75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76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77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78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79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0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709"/>
    <w:next w:val="709"/>
    <w:uiPriority w:val="99"/>
    <w:unhideWhenUsed/>
  </w:style>
  <w:style w:type="character" w:styleId="883">
    <w:name w:val="FollowedHyperlink"/>
    <w:basedOn w:val="719"/>
    <w:uiPriority w:val="99"/>
    <w:unhideWhenUsed/>
    <w:qFormat/>
    <w:rPr>
      <w:color w:val="800080"/>
      <w:u w:val="single"/>
    </w:rPr>
  </w:style>
  <w:style w:type="character" w:styleId="884">
    <w:name w:val="Hyperlink"/>
    <w:basedOn w:val="719"/>
    <w:uiPriority w:val="99"/>
    <w:unhideWhenUsed/>
    <w:qFormat/>
    <w:rPr>
      <w:color w:val="0000ff"/>
      <w:u w:val="single"/>
    </w:rPr>
  </w:style>
  <w:style w:type="character" w:styleId="885">
    <w:name w:val="Strong"/>
    <w:basedOn w:val="719"/>
    <w:qFormat/>
    <w:rPr>
      <w:rFonts w:cs="Times New Roman"/>
      <w:b/>
      <w:bCs/>
    </w:rPr>
  </w:style>
  <w:style w:type="paragraph" w:styleId="886">
    <w:name w:val="Body Text Indent 3"/>
    <w:basedOn w:val="709"/>
    <w:uiPriority w:val="99"/>
    <w:unhideWhenUsed/>
    <w:qFormat/>
    <w:pPr>
      <w:ind w:left="283"/>
      <w:spacing w:after="120"/>
    </w:pPr>
    <w:rPr>
      <w:sz w:val="16"/>
      <w:szCs w:val="16"/>
    </w:rPr>
  </w:style>
  <w:style w:type="paragraph" w:styleId="887">
    <w:name w:val="Header"/>
    <w:basedOn w:val="709"/>
    <w:link w:val="890"/>
    <w:uiPriority w:val="99"/>
    <w:unhideWhenUsed/>
    <w:qFormat/>
  </w:style>
  <w:style w:type="paragraph" w:styleId="888">
    <w:name w:val="Footer"/>
    <w:basedOn w:val="709"/>
    <w:link w:val="891"/>
    <w:uiPriority w:val="99"/>
    <w:unhideWhenUsed/>
    <w:qFormat/>
  </w:style>
  <w:style w:type="paragraph" w:styleId="889">
    <w:name w:val="Normal (Web)"/>
    <w:basedOn w:val="709"/>
    <w:qFormat/>
    <w:pPr>
      <w:jc w:val="both"/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styleId="890" w:customStyle="1">
    <w:name w:val="Верхний колонтитул Знак"/>
    <w:basedOn w:val="719"/>
    <w:link w:val="887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1" w:customStyle="1">
    <w:name w:val="Нижний колонтитул Знак"/>
    <w:basedOn w:val="719"/>
    <w:link w:val="88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2" w:customStyle="1">
    <w:name w:val="10"/>
    <w:basedOn w:val="719"/>
    <w:qFormat/>
    <w:rPr>
      <w:rFonts w:hint="default" w:ascii="Times New Roman" w:hAnsi="Times New Roman" w:cs="Times New Roman"/>
    </w:rPr>
  </w:style>
  <w:style w:type="character" w:styleId="893" w:customStyle="1">
    <w:name w:val="15"/>
    <w:basedOn w:val="719"/>
    <w:qFormat/>
    <w:rPr>
      <w:rFonts w:hint="default" w:ascii="Times New Roman" w:hAnsi="Times New Roman" w:cs="Times New Roman"/>
      <w:color w:val="0000ff"/>
      <w:u w:val="single"/>
    </w:rPr>
  </w:style>
  <w:style w:type="character" w:styleId="894" w:customStyle="1">
    <w:name w:val="16"/>
    <w:basedOn w:val="719"/>
    <w:qFormat/>
    <w:rPr>
      <w:rFonts w:hint="default" w:ascii="Times New Roman" w:hAnsi="Times New Roman" w:cs="Times New Roman"/>
    </w:rPr>
  </w:style>
  <w:style w:type="paragraph" w:styleId="895">
    <w:name w:val="No Spacing"/>
    <w:uiPriority w:val="1"/>
    <w:qFormat/>
    <w:rPr>
      <w:rFonts w:ascii="Calibri" w:hAnsi="Calibri" w:eastAsia="Times New Roman" w:cs="Times New Roman"/>
      <w:sz w:val="22"/>
      <w:szCs w:val="22"/>
      <w:lang w:eastAsia="en-US"/>
    </w:rPr>
  </w:style>
  <w:style w:type="paragraph" w:styleId="896" w:customStyle="1">
    <w:name w:val="rezul"/>
    <w:basedOn w:val="709"/>
    <w:qFormat/>
    <w:pPr>
      <w:ind w:firstLine="283"/>
      <w:jc w:val="both"/>
      <w:widowControl w:val="off"/>
    </w:pPr>
    <w:rPr>
      <w:b/>
      <w:szCs w:val="20"/>
      <w:lang w:val="en-US"/>
    </w:rPr>
  </w:style>
  <w:style w:type="character" w:styleId="897" w:customStyle="1">
    <w:name w:val="rts-text"/>
    <w:basedOn w:val="719"/>
    <w:qFormat/>
  </w:style>
  <w:style w:type="paragraph" w:styleId="898" w:customStyle="1">
    <w:name w:val="Заголов1"/>
    <w:basedOn w:val="709"/>
    <w:uiPriority w:val="99"/>
    <w:pPr>
      <w:jc w:val="center"/>
      <w:widowControl w:val="off"/>
    </w:pPr>
    <w:rPr>
      <w:rFonts w:ascii="a_Timer" w:hAnsi="a_Timer" w:cs="a_Timer"/>
      <w:lang w:val="en-US"/>
    </w:rPr>
  </w:style>
  <w:style w:type="paragraph" w:styleId="899">
    <w:name w:val="List Paragraph"/>
    <w:basedOn w:val="709"/>
    <w:uiPriority w:val="99"/>
    <w:pPr>
      <w:contextualSpacing/>
      <w:ind w:left="720"/>
    </w:pPr>
  </w:style>
  <w:style w:type="character" w:styleId="900">
    <w:name w:val="footnote reference"/>
    <w:rPr>
      <w:vertAlign w:val="superscript"/>
    </w:rPr>
  </w:style>
  <w:style w:type="paragraph" w:styleId="901">
    <w:name w:val="footnote text"/>
    <w:basedOn w:val="709"/>
    <w:link w:val="902"/>
    <w:rPr>
      <w:sz w:val="20"/>
      <w:szCs w:val="20"/>
      <w:lang w:eastAsia="zh-CN"/>
    </w:rPr>
  </w:style>
  <w:style w:type="character" w:styleId="902" w:customStyle="1">
    <w:name w:val="Текст сноски Знак"/>
    <w:basedOn w:val="719"/>
    <w:link w:val="901"/>
    <w:rPr>
      <w:rFonts w:ascii="Times New Roman" w:hAnsi="Times New Roman" w:eastAsia="Times New Roman" w:cs="Times New Roman"/>
      <w:lang w:eastAsia="zh-CN"/>
    </w:rPr>
  </w:style>
  <w:style w:type="table" w:styleId="903">
    <w:name w:val="Table Grid"/>
    <w:basedOn w:val="720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4">
    <w:name w:val="Balloon Text"/>
    <w:basedOn w:val="709"/>
    <w:link w:val="90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5" w:customStyle="1">
    <w:name w:val="Текст выноски Знак"/>
    <w:basedOn w:val="719"/>
    <w:link w:val="904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1_1039" w:customStyle="1">
    <w:name w:val="Символ сноски"/>
    <w:qFormat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revision>12</cp:revision>
  <dcterms:created xsi:type="dcterms:W3CDTF">2023-10-31T06:24:00Z</dcterms:created>
  <dcterms:modified xsi:type="dcterms:W3CDTF">2024-01-25T14:46:13Z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A6359D14764B43E9BA567EF3ABEF27A6</vt:lpwstr>
  </property>
</Properties>
</file>